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color w:val="111827"/>
          <w:sz w:val="34"/>
          <w:szCs w:val="34"/>
        </w:rPr>
        <w:t xml:space="preserve">Convention de groupement momentané d'entreprises</w:t>
      </w:r>
    </w:p>
    <w:p>
      <w:pPr>
        <w:spacing w:after="160"/>
      </w:pPr>
      <w:r>
        <w:rPr>
          <w:rFonts w:ascii="Arial" w:cs="Arial" w:eastAsia="Arial" w:hAnsi="Arial"/>
          <w:color w:val="6B7280"/>
          <w:sz w:val="21"/>
          <w:szCs w:val="21"/>
        </w:rPr>
        <w:t xml:space="preserve">Consultation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[référence]</w:t>
      </w:r>
      <w:r>
        <w:rPr>
          <w:rFonts w:ascii="Arial" w:cs="Arial" w:eastAsia="Arial" w:hAnsi="Arial"/>
          <w:color w:val="6B7280"/>
          <w:sz w:val="21"/>
          <w:szCs w:val="21"/>
        </w:rPr>
        <w:t xml:space="preserve"> ·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[Nom de l'acheteur]</w:t>
      </w:r>
      <w:r>
        <w:rPr>
          <w:rFonts w:ascii="Arial" w:cs="Arial" w:eastAsia="Arial" w:hAnsi="Arial"/>
          <w:color w:val="6B7280"/>
          <w:sz w:val="21"/>
          <w:szCs w:val="21"/>
        </w:rPr>
        <w:t xml:space="preserve"> · Lot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[n°]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Modèle indicatif : adaptez chaque article à votre situation et faites-le relire par votre conseil ou votre fédération professionnelle avant signature. Signez la convention avant le dépôt de l'offre.</w:t>
      </w:r>
    </w:p>
    <w:p>
      <w:pPr>
        <w:pStyle w:val="Heading2"/>
      </w:pPr>
      <w:r>
        <w:rPr>
          <w:rFonts w:ascii="Arial" w:cs="Arial" w:eastAsia="Arial" w:hAnsi="Arial"/>
        </w:rPr>
        <w:t xml:space="preserve">Article 1 · Objet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La présente convention organise le groupement momentané d'entreprises constitué pour répondre à la consultation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[référence]</w:t>
      </w:r>
      <w:r>
        <w:rPr>
          <w:rFonts w:ascii="Arial" w:cs="Arial" w:eastAsia="Arial" w:hAnsi="Arial"/>
          <w:sz w:val="21"/>
          <w:szCs w:val="21"/>
        </w:rPr>
        <w:t xml:space="preserve"> lancée par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[nom de l'acheteur]</w:t>
      </w:r>
      <w:r>
        <w:rPr>
          <w:rFonts w:ascii="Arial" w:cs="Arial" w:eastAsia="Arial" w:hAnsi="Arial"/>
          <w:sz w:val="21"/>
          <w:szCs w:val="21"/>
        </w:rPr>
        <w:t xml:space="preserve">, lot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[n°]</w:t>
      </w:r>
      <w:r>
        <w:rPr>
          <w:rFonts w:ascii="Arial" w:cs="Arial" w:eastAsia="Arial" w:hAnsi="Arial"/>
          <w:sz w:val="21"/>
          <w:szCs w:val="21"/>
        </w:rPr>
        <w:t xml:space="preserve"> «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[intitulé]</w:t>
      </w:r>
      <w:r>
        <w:rPr>
          <w:rFonts w:ascii="Arial" w:cs="Arial" w:eastAsia="Arial" w:hAnsi="Arial"/>
          <w:sz w:val="21"/>
          <w:szCs w:val="21"/>
        </w:rPr>
        <w:t xml:space="preserve"> », et, en cas d'attribution, pour exécuter le marché.</w:t>
      </w:r>
    </w:p>
    <w:p>
      <w:pPr>
        <w:pStyle w:val="Heading2"/>
      </w:pPr>
      <w:r>
        <w:rPr>
          <w:rFonts w:ascii="Arial" w:cs="Arial" w:eastAsia="Arial" w:hAnsi="Arial"/>
        </w:rPr>
        <w:t xml:space="preserve">Article 2 · Membres du groupement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Membre 1 (mandataire) :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[raison sociale, forme, SIRET, adresse]</w:t>
      </w:r>
      <w:r>
        <w:rPr>
          <w:rFonts w:ascii="Arial" w:cs="Arial" w:eastAsia="Arial" w:hAnsi="Arial"/>
          <w:sz w:val="21"/>
          <w:szCs w:val="21"/>
        </w:rPr>
        <w:t xml:space="preserve">, représenté par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[nom, fonction]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Membre 2 :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[raison sociale, forme, SIRET, adresse]</w:t>
      </w:r>
      <w:r>
        <w:rPr>
          <w:rFonts w:ascii="Arial" w:cs="Arial" w:eastAsia="Arial" w:hAnsi="Arial"/>
          <w:sz w:val="21"/>
          <w:szCs w:val="21"/>
        </w:rPr>
        <w:t xml:space="preserve">, représenté par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[nom, fonction]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Membre 3 :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[raison sociale, forme, SIRET, adresse]</w:t>
      </w:r>
      <w:r>
        <w:rPr>
          <w:rFonts w:ascii="Arial" w:cs="Arial" w:eastAsia="Arial" w:hAnsi="Arial"/>
          <w:sz w:val="21"/>
          <w:szCs w:val="21"/>
        </w:rPr>
        <w:t xml:space="preserve">, représenté par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[nom, fonction]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pStyle w:val="Heading2"/>
      </w:pPr>
      <w:r>
        <w:rPr>
          <w:rFonts w:ascii="Arial" w:cs="Arial" w:eastAsia="Arial" w:hAnsi="Arial"/>
        </w:rPr>
        <w:t xml:space="preserve">Article 3 · Forme du groupement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Le groupement est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[conjoint / solidaire]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spacing w:after="160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[Si conjoint]</w:t>
      </w:r>
      <w:r>
        <w:rPr>
          <w:rFonts w:ascii="Arial" w:cs="Arial" w:eastAsia="Arial" w:hAnsi="Arial"/>
          <w:sz w:val="21"/>
          <w:szCs w:val="21"/>
        </w:rPr>
        <w:t xml:space="preserve"> Le mandataire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[est / n'est pas]</w:t>
      </w:r>
      <w:r>
        <w:rPr>
          <w:rFonts w:ascii="Arial" w:cs="Arial" w:eastAsia="Arial" w:hAnsi="Arial"/>
          <w:sz w:val="21"/>
          <w:szCs w:val="21"/>
        </w:rPr>
        <w:t xml:space="preserve"> solidaire de chacun des membres pour leurs obligations contractuelles envers l'acheteur.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Si les documents de la consultation imposent une forme à l'attributaire, les membres s'engagent à l'adopter en cas d'attribution.</w:t>
      </w:r>
    </w:p>
    <w:p>
      <w:pPr>
        <w:pStyle w:val="Heading2"/>
      </w:pPr>
      <w:r>
        <w:rPr>
          <w:rFonts w:ascii="Arial" w:cs="Arial" w:eastAsia="Arial" w:hAnsi="Arial"/>
        </w:rPr>
        <w:t xml:space="preserve">Article 4 · Mandataire et pouvoirs</w:t>
      </w:r>
    </w:p>
    <w:p>
      <w:pPr>
        <w:spacing w:after="160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[Membre 1]</w:t>
      </w:r>
      <w:r>
        <w:rPr>
          <w:rFonts w:ascii="Arial" w:cs="Arial" w:eastAsia="Arial" w:hAnsi="Arial"/>
          <w:sz w:val="21"/>
          <w:szCs w:val="21"/>
        </w:rPr>
        <w:t xml:space="preserve"> est désigné mandataire. Il représente l'ensemble des membres auprès de l'acheteur et coordonne les prestations.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Chaque membre lui donne pouvoir pour : déposer la candidature et l'offre ; signer l'offre et le marché au nom du groupement ;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[négocier ; signer les avenants ; recevoir les paiements]</w:t>
      </w:r>
      <w:r>
        <w:rPr>
          <w:rFonts w:ascii="Arial" w:cs="Arial" w:eastAsia="Arial" w:hAnsi="Arial"/>
          <w:sz w:val="21"/>
          <w:szCs w:val="21"/>
        </w:rPr>
        <w:t xml:space="preserve">. Les habilitations signées sont jointes en annexe.</w:t>
      </w:r>
    </w:p>
    <w:p>
      <w:pPr>
        <w:pStyle w:val="Heading2"/>
      </w:pPr>
      <w:r>
        <w:rPr>
          <w:rFonts w:ascii="Arial" w:cs="Arial" w:eastAsia="Arial" w:hAnsi="Arial"/>
        </w:rPr>
        <w:t xml:space="preserve">Article 5 · Répartition des prestations et du prix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Les prestations et leur montant sont répartis comme suit, en cohérence avec l'acte d'engagement :</w:t>
      </w:r>
    </w:p>
    <w:p>
      <w:pPr>
        <w:spacing w:after="160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[Membre 1]</w:t>
      </w:r>
      <w:r>
        <w:rPr>
          <w:rFonts w:ascii="Arial" w:cs="Arial" w:eastAsia="Arial" w:hAnsi="Arial"/>
          <w:sz w:val="21"/>
          <w:szCs w:val="21"/>
        </w:rPr>
        <w:t xml:space="preserve"> :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[prestations]</w:t>
      </w:r>
      <w:r>
        <w:rPr>
          <w:rFonts w:ascii="Arial" w:cs="Arial" w:eastAsia="Arial" w:hAnsi="Arial"/>
          <w:sz w:val="21"/>
          <w:szCs w:val="21"/>
        </w:rPr>
        <w:t xml:space="preserve">,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[montant]</w:t>
      </w:r>
      <w:r>
        <w:rPr>
          <w:rFonts w:ascii="Arial" w:cs="Arial" w:eastAsia="Arial" w:hAnsi="Arial"/>
          <w:sz w:val="21"/>
          <w:szCs w:val="21"/>
        </w:rPr>
        <w:t xml:space="preserve"> € HT.</w:t>
      </w:r>
    </w:p>
    <w:p>
      <w:pPr>
        <w:spacing w:after="160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[Membre 2]</w:t>
      </w:r>
      <w:r>
        <w:rPr>
          <w:rFonts w:ascii="Arial" w:cs="Arial" w:eastAsia="Arial" w:hAnsi="Arial"/>
          <w:sz w:val="21"/>
          <w:szCs w:val="21"/>
        </w:rPr>
        <w:t xml:space="preserve"> :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[prestations]</w:t>
      </w:r>
      <w:r>
        <w:rPr>
          <w:rFonts w:ascii="Arial" w:cs="Arial" w:eastAsia="Arial" w:hAnsi="Arial"/>
          <w:sz w:val="21"/>
          <w:szCs w:val="21"/>
        </w:rPr>
        <w:t xml:space="preserve">,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[montant]</w:t>
      </w:r>
      <w:r>
        <w:rPr>
          <w:rFonts w:ascii="Arial" w:cs="Arial" w:eastAsia="Arial" w:hAnsi="Arial"/>
          <w:sz w:val="21"/>
          <w:szCs w:val="21"/>
        </w:rPr>
        <w:t xml:space="preserve"> € HT.</w:t>
      </w:r>
    </w:p>
    <w:p>
      <w:pPr>
        <w:spacing w:after="160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[Membre 3]</w:t>
      </w:r>
      <w:r>
        <w:rPr>
          <w:rFonts w:ascii="Arial" w:cs="Arial" w:eastAsia="Arial" w:hAnsi="Arial"/>
          <w:sz w:val="21"/>
          <w:szCs w:val="21"/>
        </w:rPr>
        <w:t xml:space="preserve"> :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[prestations]</w:t>
      </w:r>
      <w:r>
        <w:rPr>
          <w:rFonts w:ascii="Arial" w:cs="Arial" w:eastAsia="Arial" w:hAnsi="Arial"/>
          <w:sz w:val="21"/>
          <w:szCs w:val="21"/>
        </w:rPr>
        <w:t xml:space="preserve">,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[montant]</w:t>
      </w:r>
      <w:r>
        <w:rPr>
          <w:rFonts w:ascii="Arial" w:cs="Arial" w:eastAsia="Arial" w:hAnsi="Arial"/>
          <w:sz w:val="21"/>
          <w:szCs w:val="21"/>
        </w:rPr>
        <w:t xml:space="preserve"> € HT.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Les interfaces entre les parts de chacun (réservations, reprises, protections) sont réparties ainsi :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[préciser]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pStyle w:val="Heading2"/>
      </w:pPr>
      <w:r>
        <w:rPr>
          <w:rFonts w:ascii="Arial" w:cs="Arial" w:eastAsia="Arial" w:hAnsi="Arial"/>
        </w:rPr>
        <w:t xml:space="preserve">Article 6 · Paiement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Chaque membre est payé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[directement sur son compte / sur le compte du mandataire, qui reverse sa part sous [X]</w:t>
      </w:r>
      <w:r>
        <w:rPr>
          <w:rFonts w:ascii="Arial" w:cs="Arial" w:eastAsia="Arial" w:hAnsi="Arial"/>
          <w:sz w:val="21"/>
          <w:szCs w:val="21"/>
        </w:rPr>
        <w:t xml:space="preserve"> jours après réception].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Le mandataire transmet les demandes de paiement de chaque membre dans les délais prévus au marché.</w:t>
      </w:r>
    </w:p>
    <w:p>
      <w:pPr>
        <w:pStyle w:val="Heading2"/>
      </w:pPr>
      <w:r>
        <w:rPr>
          <w:rFonts w:ascii="Arial" w:cs="Arial" w:eastAsia="Arial" w:hAnsi="Arial"/>
        </w:rPr>
        <w:t xml:space="preserve">Article 7 · Coordination et dépenses communes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Réunions de coordination :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[fréquence, participants]</w:t>
      </w:r>
      <w:r>
        <w:rPr>
          <w:rFonts w:ascii="Arial" w:cs="Arial" w:eastAsia="Arial" w:hAnsi="Arial"/>
          <w:sz w:val="21"/>
          <w:szCs w:val="21"/>
        </w:rPr>
        <w:t xml:space="preserve">. Planning commun tenu par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[membre]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Les dépenses communes de chantier (base vie, bennes, nettoyage,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[autres]</w:t>
      </w:r>
      <w:r>
        <w:rPr>
          <w:rFonts w:ascii="Arial" w:cs="Arial" w:eastAsia="Arial" w:hAnsi="Arial"/>
          <w:sz w:val="21"/>
          <w:szCs w:val="21"/>
        </w:rPr>
        <w:t xml:space="preserve">) sont réparties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[au prorata des montants / selon la clé suivante : …]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pStyle w:val="Heading2"/>
      </w:pPr>
      <w:r>
        <w:rPr>
          <w:rFonts w:ascii="Arial" w:cs="Arial" w:eastAsia="Arial" w:hAnsi="Arial"/>
        </w:rPr>
        <w:t xml:space="preserve">Article 8 · Responsabilités et assurances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Chaque membre est responsable de l'exécution de ses prestations et justifie de ses assurances (responsabilité civile, décennale) couvrant ses activités dans le marché.</w:t>
      </w:r>
    </w:p>
    <w:p>
      <w:pPr>
        <w:pStyle w:val="Heading2"/>
      </w:pPr>
      <w:r>
        <w:rPr>
          <w:rFonts w:ascii="Arial" w:cs="Arial" w:eastAsia="Arial" w:hAnsi="Arial"/>
        </w:rPr>
        <w:t xml:space="preserve">Article 9 · Défaillance d'un membre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En cas de défaillance d'un membre,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[le mandataire / les autres membres]</w:t>
      </w:r>
      <w:r>
        <w:rPr>
          <w:rFonts w:ascii="Arial" w:cs="Arial" w:eastAsia="Arial" w:hAnsi="Arial"/>
          <w:sz w:val="21"/>
          <w:szCs w:val="21"/>
        </w:rPr>
        <w:t xml:space="preserve">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[reprend / reprennent]</w:t>
      </w:r>
      <w:r>
        <w:rPr>
          <w:rFonts w:ascii="Arial" w:cs="Arial" w:eastAsia="Arial" w:hAnsi="Arial"/>
          <w:sz w:val="21"/>
          <w:szCs w:val="21"/>
        </w:rPr>
        <w:t xml:space="preserve"> sa part dans les conditions suivantes :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[préciser]</w:t>
      </w:r>
      <w:r>
        <w:rPr>
          <w:rFonts w:ascii="Arial" w:cs="Arial" w:eastAsia="Arial" w:hAnsi="Arial"/>
          <w:sz w:val="21"/>
          <w:szCs w:val="21"/>
        </w:rPr>
        <w:t xml:space="preserve">. Les surcoûts sont supportés par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[le membre défaillant / préciser]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Toute modification de la composition du groupement avant la signature du marché reste soumise aux règles du Code de la commande publique et à l'accord de l'acheteur.</w:t>
      </w:r>
    </w:p>
    <w:p>
      <w:pPr>
        <w:pStyle w:val="Heading2"/>
      </w:pPr>
      <w:r>
        <w:rPr>
          <w:rFonts w:ascii="Arial" w:cs="Arial" w:eastAsia="Arial" w:hAnsi="Arial"/>
        </w:rPr>
        <w:t xml:space="preserve">Article 10 · Frais de réponse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Si le marché n'est pas attribué au groupement, chaque membre supporte ses propres frais de réponse, sauf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[dépenses communes engagées d'un commun accord, réparties ainsi : …]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pStyle w:val="Heading2"/>
      </w:pPr>
      <w:r>
        <w:rPr>
          <w:rFonts w:ascii="Arial" w:cs="Arial" w:eastAsia="Arial" w:hAnsi="Arial"/>
        </w:rPr>
        <w:t xml:space="preserve">Article 11 · Durée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La convention prend effet à sa signature. Elle prend fin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[à la date de rejet de l'offre / à l'expiration des garanties contractuelles, y compris la garantie décennale]</w:t>
      </w:r>
      <w:r>
        <w:rPr>
          <w:rFonts w:ascii="Arial" w:cs="Arial" w:eastAsia="Arial" w:hAnsi="Arial"/>
          <w:sz w:val="21"/>
          <w:szCs w:val="21"/>
        </w:rPr>
        <w:t xml:space="preserve">, et non à la seule réception des travaux.</w:t>
      </w:r>
    </w:p>
    <w:p>
      <w:pPr>
        <w:pStyle w:val="Heading2"/>
      </w:pPr>
      <w:r>
        <w:rPr>
          <w:rFonts w:ascii="Arial" w:cs="Arial" w:eastAsia="Arial" w:hAnsi="Arial"/>
        </w:rPr>
        <w:t xml:space="preserve">Article 12 · Règlement des désaccords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Les membres recherchent d'abord une solution amiable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[dans un délai de X jours]</w:t>
      </w:r>
      <w:r>
        <w:rPr>
          <w:rFonts w:ascii="Arial" w:cs="Arial" w:eastAsia="Arial" w:hAnsi="Arial"/>
          <w:sz w:val="21"/>
          <w:szCs w:val="21"/>
        </w:rPr>
        <w:t xml:space="preserve">. À défaut,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[médiation par … / tribunal compétent : …]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pStyle w:val="Heading2"/>
      </w:pPr>
      <w:r>
        <w:rPr>
          <w:rFonts w:ascii="Arial" w:cs="Arial" w:eastAsia="Arial" w:hAnsi="Arial"/>
        </w:rPr>
        <w:t xml:space="preserve">Signatures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Fait à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[ville]</w:t>
      </w:r>
      <w:r>
        <w:rPr>
          <w:rFonts w:ascii="Arial" w:cs="Arial" w:eastAsia="Arial" w:hAnsi="Arial"/>
          <w:sz w:val="21"/>
          <w:szCs w:val="21"/>
        </w:rPr>
        <w:t xml:space="preserve">, le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[date]</w:t>
      </w:r>
      <w:r>
        <w:rPr>
          <w:rFonts w:ascii="Arial" w:cs="Arial" w:eastAsia="Arial" w:hAnsi="Arial"/>
          <w:sz w:val="21"/>
          <w:szCs w:val="21"/>
        </w:rPr>
        <w:t xml:space="preserve">, en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[nombre]</w:t>
      </w:r>
      <w:r>
        <w:rPr>
          <w:rFonts w:ascii="Arial" w:cs="Arial" w:eastAsia="Arial" w:hAnsi="Arial"/>
          <w:sz w:val="21"/>
          <w:szCs w:val="21"/>
        </w:rPr>
        <w:t xml:space="preserve"> exemplaires.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Pour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[Membre 1]</w:t>
      </w:r>
      <w:r>
        <w:rPr>
          <w:rFonts w:ascii="Arial" w:cs="Arial" w:eastAsia="Arial" w:hAnsi="Arial"/>
          <w:sz w:val="21"/>
          <w:szCs w:val="21"/>
        </w:rPr>
        <w:t xml:space="preserve">, mandataire :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[nom, fonction, signature]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Pour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[Membre 2]</w:t>
      </w:r>
      <w:r>
        <w:rPr>
          <w:rFonts w:ascii="Arial" w:cs="Arial" w:eastAsia="Arial" w:hAnsi="Arial"/>
          <w:sz w:val="21"/>
          <w:szCs w:val="21"/>
        </w:rPr>
        <w:t xml:space="preserve"> :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[nom, fonction, signature]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Pour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[Membre 3]</w:t>
      </w:r>
      <w:r>
        <w:rPr>
          <w:rFonts w:ascii="Arial" w:cs="Arial" w:eastAsia="Arial" w:hAnsi="Arial"/>
          <w:sz w:val="21"/>
          <w:szCs w:val="21"/>
        </w:rPr>
        <w:t xml:space="preserve"> :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[nom, fonction, signature]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Annexes : habilitations du mandataire signées par chaque membre ; répartition détaillée des prestations et des prix ; attestations d'assurance.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Modèle mon-ao.com · mon-ao.com/blog/groupement-entreprises-marche-public · à faire relire par votre conseil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563EB" w:sz="8" w:space="4"/>
      </w:pBdr>
      <w:spacing w:before="200" w:after="160"/>
      <w:outlineLvl w:val="0"/>
    </w:pPr>
    <w:rPr>
      <w:rFonts w:ascii="Arial" w:cs="Arial" w:eastAsia="Arial" w:hAnsi="Arial"/>
      <w:b/>
      <w:bCs/>
      <w:color w:val="111827"/>
      <w:sz w:val="28"/>
      <w:szCs w:val="28"/>
    </w:rPr>
  </w:style>
  <w:style w:type="paragraph" w:styleId="Heading2">
    <w:name w:val="Heading 2"/>
    <w:basedOn w:val="Normal"/>
    <w:next w:val="Normal"/>
    <w:qFormat/>
    <w:pPr>
      <w:spacing w:before="220" w:after="100"/>
      <w:outlineLvl w:val="1"/>
    </w:pPr>
    <w:rPr>
      <w:rFonts w:ascii="Arial" w:cs="Arial" w:eastAsia="Arial" w:hAnsi="Arial"/>
      <w:b/>
      <w:bCs/>
      <w:color w:val="111827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convention de groupement momentané d'entreprises</dc:title>
  <dc:creator>mon-ao.com</dc:creator>
  <cp:lastModifiedBy>Un-named</cp:lastModifiedBy>
  <cp:revision>1</cp:revision>
  <dcterms:created xsi:type="dcterms:W3CDTF">2026-10-20T12:23:16.660Z</dcterms:created>
  <dcterms:modified xsi:type="dcterms:W3CDTF">2026-10-20T12:23:16.660Z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